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183</w:t>
      </w:r>
    </w:p>
    <w:p>
      <w:r>
        <w:t>Bundesgericht (BGE), 2000-08-03, DE</w:t>
      </w:r>
    </w:p>
    <w:p>
      <w:r>
        <w:rPr>
          <w:b/>
        </w:rPr>
        <w:t xml:space="preserve">Quelle: </w:t>
      </w:r>
      <w:r>
        <w:t>https://mcp.opencaselaw.ch/entscheid/bge_126 V 183</w:t>
      </w:r>
    </w:p>
    <w:p>
      <w:r>
        <w:t>FR: ATF 126 V 183</w:t>
      </w:r>
    </w:p>
    <w:p>
      <w:r>
        <w:t>IT: DTF 126 V 183</w:t>
      </w:r>
    </w:p>
    <w:p>
      <w:pPr>
        <w:pStyle w:val="Heading2"/>
      </w:pPr>
      <w:r>
        <w:t>Regeste</w:t>
      </w:r>
    </w:p>
    <w:p>
      <w:r>
        <w:t>Regeste Art. 9 Abs. 2 UVG: Berufskrankheit; Beweisfragen. Die Anerkennung einer Berufskrankheit nach Art. 9 Abs. 2 UVG stellt primär eine Beweisfrage im Einzelfall dar. Wenn aber auf Grund medizinischer Forschungsergebnisse ein Erfahrungswert dafür besteht, dass eine berufsbedingte Genese eines bestimmten Leidens von seiner Natur her nicht nachgewiesen werden kann, schliesst dies den Beweis auf qualifizierte Ursächlichkeit im Sinne von Art. 9 Abs. 2 UVG im Einzelfall aus. Art. 5 Abs. 1 BV: Parallelität der Formen. Will die Schweizerische Unfallversicherungsanstalt ihre bisherige, im anstaltseigenen, öffentlich zugänglichen Publikationsorgan dargelegte Praxis zur Anerkennung einer bestimmten Berufskrankheit aufgeben, so hat sie dies in Wahrung des Grundsatzes der Parallelität der Formen ebenfalls zu publizieren.</w:t>
      </w:r>
    </w:p>
    <w:p>
      <w:pPr>
        <w:pStyle w:val="Heading2"/>
      </w:pPr>
      <w:r>
        <w:t>Erwägungen</w:t>
      </w:r>
    </w:p>
    <w:p>
      <w:r>
        <w:rPr>
          <w:b/>
        </w:rPr>
        <w:t>E. 2</w:t>
      </w:r>
    </w:p>
    <w:p>
      <w:r>
        <w:t>a) Es steht fest und ist unbestritten, dass der Versicherte weder an den Folgen eines versicherten Unfalles ( Art. 6 Abs. 1 UVG in Verbindung mit Art. 9 Abs. 1 UVV ) noch an einer unfallähnlichen Körperschädigung ( Art. 6 Abs. 2 UVG in Verbindung mit Art. 9 BGE 126 V 183 S. 186 Abs. 2 UVV ) noch einer Berufskrankheit gemäss Art. 9 Abs. 1 UVG in Verbindung mit dem Anhang I zur UVV leidet. In Betracht fällt als Anspruchsgrundlage einzig Art. 9 Abs. 2 UVG , wonach als Berufskrankheiten auch andere Krankheiten gelten, von denen nachgewiesen wird, dass sie ausschliesslich oder stark überwiegend durch berufliche Tätigkeit verursacht worden sind. b) Die Voraussetzung des ausschliesslichen oder stark überwiegenden Zusammenhanges gemäss Art. 9 Abs. 2 UVG ist nach ständiger Rechtsprechung erfüllt, wenn die Berufskrankheit mindestens zu 75% durch die berufliche Tätigkeit verursacht worden ist ( BGE 114 V 109 ). Die Anerkennung von Beschwerden im Rahmen dieser von der Rechtsprechung als "Generalklausel" bezeichneten Anspruchsgrundlage ist, entsprechend der in BGE 114 V 111 f. Erw. 3c auf Grund der Materialien eingehend dargelegten legislatorischen Absicht, die Grenze zwischen krankenversicherungsrechtlicher Krankheit und unfallversicherungsrechtlicher Berufskrankheit nicht zu verwässern, an relativ strenge Beweisanforderungen gebunden. Verlangt wird, dass der Versicherte für eine gewisse Dauer einem typischen Berufsrisiko ausgesetzt ist. Die einmalige gesundheitliche Schädigung, die gleichzeitig mit der Berufsausübung eintritt, genügt nicht ( BGE 116 V 144 Erw. 5d). Für die Beurteilung der Exposition (oder Arbeitsdauer) ist die gesamte, gegebenenfalls auch die schon vor dem 1. Januar 1984 (Inkrafttreten des UVG) ausgeübte Berufstätigkeit zu berücksichtigen ( BGE 119 V 200 ).</w:t>
      </w:r>
    </w:p>
    <w:p>
      <w:r>
        <w:rPr>
          <w:b/>
        </w:rPr>
        <w:t>E. 3</w:t>
      </w:r>
    </w:p>
    <w:p>
      <w:r>
        <w:t>keine vorbestehende Erkrankung oder erwähnenswerte ausserberufliche Belastung der Vorderarm-Handmuskulatur sowie des linken Ellbogens</w:t>
      </w:r>
    </w:p>
    <w:p>
      <w:r>
        <w:rPr>
          <w:b/>
        </w:rPr>
        <w:t>E. 4</w:t>
      </w:r>
    </w:p>
    <w:p>
      <w:r>
        <w:t>a) Wenn ein Versicherter an einer Krankheit leidet, die in Ziff. 2 des Anhanges I zur UVV aufgeführt ist und er - kumulativ - alle oder dort besonders umschriebene Tätigkeiten verrichtet hat, liegt in der Regel eine Berufskrankheit vor. Die Zusammenhangsfrage ist in diesem Bereich - auf Grund arbeitsmedizinischer BGE 126 V 183 S. 189 Erkenntnisse - weitgehend durch den Verordnungsgeber vorentschieden. Von dieser Regel, welche auch als dem (schlüssigen) Gegenbeweis weichende natürliche Vermutung bezeichnet werden kann, ist abzugehen, wenn konkrete Umstände des Einzelfalles klar gegen eine berufliche Verursachung sprechen (nicht veröffentlichtes Urteil M. vom 2. Februar 1996). b) Die Anerkennung anderer Krankheitsbilder im Rahmen der Generalklausel nach Art. 9 Abs. 2 UVG ist demgegenüber subsidiär. Das heisst sie kommt bezüglich jener Leiden zum Zuge, die nach bisheriger arbeitsmedizinischer Erkenntnis (noch) nicht in einen dermassen qualifizierten Ursachenzusammenhang mit beruflichen Tätigkeiten gebracht werden können, dass sich deswegen ihre Bezeichnung als Listenkrankheit rechtfertigte, die aber doch, auf Grund ihrer eindeutigen beruflichen Genese, völkerrechtlicher Empfehlung folgend ( BGE 116 V 141 Erw. 5a), im Einzelfall die für Berufskrankheiten vorgesehenen Leistungen auslösen sollen. Dies führt dazu, dass im Rahmen von Art. 9 Abs. 2 UVG in jedem Einzelfall Beweis darüber zu führen ist, ob die geforderte stark überwiegende (mehr als 75%ige) bis ausschliessliche berufliche Verursachung vorliegt. c) Indessen weist die SUVA zutreffend darauf hin, dass die Medizin eine empirische Wissenschaft ist. Das heisst es kann, wie das Eidg. Versicherungsgericht in anderen Zusammenhängen bemerkt hat ( BGE 117 V 379 Erw. 3e mit Hinweisen), der Ursache-Wirkungs-Zusammenhang nur selten auf dem Wege einer Deduktion im naturwissenschaftlich-mathematischen Sinne erschlossen oder abgeleitet werden. Wegen der empirischen Natur braucht es vielmehr in medizinischen Sachverhalten, in denen ein direkter Beweis ausscheidet, den Vergleich mit anderen Krankheitsfällen, somit die Induktion oder die induktive Beweisführung. In deren Rahmen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Dieser Zusammenhang zwischen übergeordneter Ebene der allgemeinen medizinischen Erkenntnisse und der untergeordneten BGE 126 V 183 S. 190 Ebene der Beweisführung über Tatsachen des medizinischen Wissensbereichs im streitigen Einzelfall kommt in der bisherigen zu Art. 9 Abs. 2 UVG ergangenen Rechtsprechung zum Ausdruck. Das zeigen etwa die Urteile, welche die Rückenbeschwerden eines Hilfspflegers ( BGE 116 V 136 ) oder die Epikondylitis einer Musikerin (RKUV 1999 Nr. U 326 S. 106) betreffen: Sofern der Nachweis eines qualifizierten (zumindest stark überwiegenden [Anteil von mindestens 75%]) Kausalzusammenhanges nach der medizinischen Empirie allgemein nicht geleistet werden kann (z.B. wegen der weiten Verbreitung einer Krankheit in der Bevölkerung, welche es ausschliesst, dass eine eine bestimmte versicherte Berufstätigkeit ausübende Person zumindest vier Mal häufiger von einem Leiden betroffen ist als die Bevölkerung im Durchschnitt), scheidet die Anerkennung im Einzelfall aus ( BGE 116 V 143 Erw. 5c in fine; RKUV 1999 Nr. U 326 S. 109 Erw. 3 in fine; im gleichen Sinne bezüglich der Frage nach dem für die Anerkennung als Berufskrankheit erforderlichen vorwiegenden [Anteil von mindestens 50%; RKUV 1988 Nr. U 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w:t>
      </w:r>
    </w:p>
    <w:p>
      <w:r>
        <w:rPr>
          <w:b/>
        </w:rPr>
        <w:t>E. 5</w:t>
      </w:r>
    </w:p>
    <w:p>
      <w:r>
        <w:t>a) Das kantonale Gericht hat gestützt auf den Bericht des Dr. med. U. vom 14. Juni 1995 eine stark überwiegende Einwirkung der anfangs Dezember 1994 während einer Woche geleisteten Berufsarbeit auf die Epikondylitis bejaht. Dieser Beweiswürdigung ist grundsätzlich beizupflichten - es sei denn, es gelte das, was die SUVA auf Grund der von ihr verarbeiteten neuen medizinischen Kenntnisse gemäss letztinstanzlich eingereichter interner Anstaltsmitteilung vom Juli 1996 als richtig betrachtet. Danach wäre es auf Grund der multifaktoriellen Genese des Leidens, wobei das Alter BGE 126 V 183 S. 191 und die Konstitution wahrscheinlich die entscheidende Rolle spielten, kaum je vorstellbar, eine Epikondylitis als Berufskrankheit im Sinne des Gesetzes anzuerkennen. Folglich wäre der Beweis hinreichend stark überwiegender oder ausschliesslicher Ursächlichkeit im streitigen (Einzel-)Fall ausgeschlossen (Erw. 4c hievor). b) An sich sind die von der SUVA aufgelegten Berichte und Publikationen einleuchtend. Weder das kantonale Gericht noch die Beschwerdegegnerin noch der Versicherte vermögen dem von der SUVA produzierten Beweismaterial etwas entgegenzusetzen. Ob indessen die Argumentation der SUVA tatsächlich dem neuesten Stand der medizinischen Wissenschaften entspricht, ob also die Voraussetzungen für eine Änderung der Verwaltungspraxis gegeben sind ( BGE 111 V 170 Erw. 5b mit zahlreichen Hinweisen), wie sie die SUVA hier vorzunehmen im Begriffe ist, vermag das Gericht auf Grund der vorgelegten Berichte mangels eigener Fachkenntnisse nicht abschliessend zu beantworten. Zudem ist zu beanstanden, dass die SUVA im Zuge der Änderung ihrer Verwaltungspraxis das Erfordernis der Parallelität der Form (zu dessen Bedeutung auf der Ebene des Normerlasses vgl. RHINOW/KRÄHENMANN, Schweizerische Verwaltungsrechtsprechung, Ergänzungsband, Nr. 59 BIa, S. 185 mit Hinweisen) nicht wahrt: Die massgebliche Verwaltungspraxis wurde - gut drei Jahre nachdem das UVG in Kraft getreten war - als arbeitsmedizinische Verlautbarung der Dres. med. Bär, Heinz und Ramseier in die Nr. 3/1987 der von der SUVA herausgegebenen Reihe Unfallmedizin, einem öffentlich zugänglichen Publikationsorgan, aufgenommen. Wenn auch nicht in der Form, so doch nach ihrer Bedeutung hat diese Verlautbarung den Stellenwert einer offiziellen Praxis der SUVA. Wenn die Anstalt, gestützt auf neue, in der Zwischenzeit gesammelte und - nach interner Prüfung - gesicherte Erkenntnisse von ihrer früheren Praxis abweichen will, so hätte sie dies ebenfalls zu publizieren. Es kann nicht hingenommen werden, dass die SUVA diese Publikation im Raum stehen lässt und einen Einzelfall zum Anlass nimmt, um sich unter fortlaufender Produzierung von Stellungnahmen des mit der Problematik befassten Facharztes ihrer medizinischen Abteilung und unter Einreichung von Gutachten aus anderen Verfahren davon zu distanzieren. Auch in dieser Hinsicht unterscheidet sich der Fall wesentlich von RKUV 1999 Nr. U 326 S. 106, in welchem das Eidg. Versicherungsgericht die Berufsbedingtheit einer an Epikondylitis leidenden Bratschenspielerin gestützt auf die allgemeinen BGE 126 V 183 S. 192 medizinischen Erkenntnisse abschliessend verneint hat. Hier jedoch liegt eine besondere berufliche Einwirkung während der von der Rechtsprechung verlangten längeren Arbeitsdauer vor ( BGE 116 V 144 Erw. 5d). Mit Blick auf diese Umstände drängt sich eine Aktenergänzung [durch die Vorinstanz] in Form der Einholung eines arbeitsmedizinischen Gutachtens, z.B. an einer der schweizerischen Universitätskliniken, auf.</w:t>
      </w:r>
    </w:p>
    <w:p>
      <w:r>
        <w:rPr>
          <w:b/>
        </w:rPr>
        <w:t>E. 6</w:t>
      </w:r>
    </w:p>
    <w:p>
      <w:r>
        <w:t>Nach Art. 134 OG darf das Eidg.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Der Grundsatz der Unentgeltlichkeit des Verfahrens vor dem Eidg. Versicherungsgericht gilt nicht für den Fall, dass sich zwei Unfallversicherer über Leistungen aus Unfallfolgen für einen gemeinsamen Versicherten streiten ( BGE 120 V 494 Erw. 3, BGE 119 V 223 Erw. 4c). Diese Sichtweise hat ihre Gültigkeit auch dort, wo Krankenkasse und Unfallversicherer im Streit über die Leistungspflicht liegen (AHI 1998 S. 110 mit Hinweis auf das nicht veröffentlichte Urteil M. vom 4. November 1994). Folglich hat die Beschwerdegegnerin als unterliegende Partei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